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EEE2E" w14:textId="77777777" w:rsidR="00841AED" w:rsidRPr="00841AED" w:rsidRDefault="00841AED" w:rsidP="00841AED">
      <w:pPr>
        <w:jc w:val="center"/>
        <w:rPr>
          <w:b/>
          <w:bCs/>
        </w:rPr>
      </w:pPr>
      <w:r w:rsidRPr="00841AED">
        <w:rPr>
          <w:rFonts w:ascii="Calibri" w:hAnsi="Calibri" w:cs="Calibri"/>
          <w:b/>
          <w:bCs/>
        </w:rPr>
        <w:t>﻿</w:t>
      </w:r>
      <w:r w:rsidRPr="00841AED">
        <w:rPr>
          <w:b/>
          <w:bCs/>
        </w:rPr>
        <w:t>25. Sitzung des Rates</w:t>
      </w:r>
    </w:p>
    <w:p w14:paraId="146436BA" w14:textId="77777777" w:rsidR="00841AED" w:rsidRPr="00841AED" w:rsidRDefault="00841AED" w:rsidP="00841AED">
      <w:pPr>
        <w:jc w:val="center"/>
        <w:rPr>
          <w:b/>
          <w:bCs/>
        </w:rPr>
      </w:pPr>
      <w:r w:rsidRPr="00841AED">
        <w:rPr>
          <w:b/>
          <w:bCs/>
        </w:rPr>
        <w:t>der Stadt Bergneustadt</w:t>
      </w:r>
    </w:p>
    <w:p w14:paraId="63943324" w14:textId="77777777" w:rsidR="00841AED" w:rsidRPr="00841AED" w:rsidRDefault="00841AED" w:rsidP="00841AED">
      <w:pPr>
        <w:jc w:val="center"/>
        <w:rPr>
          <w:b/>
          <w:bCs/>
        </w:rPr>
      </w:pPr>
      <w:r w:rsidRPr="00841AED">
        <w:rPr>
          <w:b/>
          <w:bCs/>
        </w:rPr>
        <w:t>am 26.06.2024</w:t>
      </w:r>
    </w:p>
    <w:p w14:paraId="67F1D13C" w14:textId="77777777" w:rsidR="00841AED" w:rsidRDefault="00841AED">
      <w:pPr>
        <w:jc w:val="center"/>
        <w:rPr>
          <w:bCs/>
        </w:rPr>
      </w:pPr>
    </w:p>
    <w:p w14:paraId="5537AC64" w14:textId="77777777" w:rsidR="00841AED" w:rsidRDefault="00841AED">
      <w:pPr>
        <w:jc w:val="center"/>
        <w:rPr>
          <w:bCs/>
        </w:rPr>
      </w:pPr>
    </w:p>
    <w:p w14:paraId="6D1BFEFE" w14:textId="77777777" w:rsidR="00841AED" w:rsidRDefault="00841AED">
      <w:pPr>
        <w:jc w:val="center"/>
        <w:rPr>
          <w:bCs/>
        </w:rPr>
      </w:pPr>
    </w:p>
    <w:p w14:paraId="3525A7FC" w14:textId="77777777" w:rsidR="00841AED" w:rsidRPr="00841AED" w:rsidRDefault="00841AED" w:rsidP="00841AED">
      <w:pPr>
        <w:rPr>
          <w:b/>
        </w:rPr>
      </w:pPr>
      <w:r w:rsidRPr="00841AED">
        <w:rPr>
          <w:rFonts w:ascii="Calibri" w:hAnsi="Calibri" w:cs="Calibri"/>
          <w:b/>
        </w:rPr>
        <w:t>﻿</w:t>
      </w:r>
      <w:r w:rsidRPr="00841AED">
        <w:rPr>
          <w:b/>
        </w:rPr>
        <w:t>Nichtöffentliche Sitzung</w:t>
      </w:r>
    </w:p>
    <w:p w14:paraId="52365403" w14:textId="0B5F97EF" w:rsidR="00841AED" w:rsidRPr="00841AED" w:rsidRDefault="00841AED" w:rsidP="00841AED">
      <w:pPr>
        <w:pStyle w:val="Listenabsatz"/>
        <w:numPr>
          <w:ilvl w:val="0"/>
          <w:numId w:val="1"/>
        </w:numPr>
        <w:rPr>
          <w:bCs/>
        </w:rPr>
      </w:pPr>
      <w:r w:rsidRPr="00841AED">
        <w:rPr>
          <w:bCs/>
        </w:rPr>
        <w:t>Verleihung des Ehrenbürgerrechts gemäß § 34 GO NRW</w:t>
      </w:r>
    </w:p>
    <w:p w14:paraId="71382B77" w14:textId="77777777" w:rsidR="00841AED" w:rsidRDefault="00841AED" w:rsidP="00841AED">
      <w:pPr>
        <w:rPr>
          <w:b/>
          <w:bCs/>
        </w:rPr>
      </w:pPr>
    </w:p>
    <w:p w14:paraId="1DDEC434" w14:textId="1BFDC340" w:rsidR="00841AED" w:rsidRPr="00841AED" w:rsidRDefault="00841AED" w:rsidP="00841AED">
      <w:pPr>
        <w:rPr>
          <w:b/>
          <w:bCs/>
        </w:rPr>
      </w:pPr>
      <w:r w:rsidRPr="00841AED">
        <w:rPr>
          <w:b/>
          <w:bCs/>
        </w:rPr>
        <w:t>Öffentliche Sitzung</w:t>
      </w:r>
    </w:p>
    <w:p w14:paraId="0619B4FE" w14:textId="3BACBA7F" w:rsidR="00841AED" w:rsidRPr="00841AED" w:rsidRDefault="00841AED" w:rsidP="00841AED">
      <w:pPr>
        <w:pStyle w:val="Listenabsatz"/>
        <w:numPr>
          <w:ilvl w:val="0"/>
          <w:numId w:val="1"/>
        </w:numPr>
        <w:rPr>
          <w:bCs/>
        </w:rPr>
      </w:pPr>
      <w:r w:rsidRPr="00841AED">
        <w:rPr>
          <w:bCs/>
        </w:rPr>
        <w:t>Umbesetzung von Gremien und Ausschüssen</w:t>
      </w:r>
    </w:p>
    <w:p w14:paraId="5C3A17B7" w14:textId="77777777" w:rsidR="00841AED" w:rsidRPr="00841AED" w:rsidRDefault="00841AED" w:rsidP="00841AED">
      <w:pPr>
        <w:ind w:left="360"/>
        <w:rPr>
          <w:bCs/>
        </w:rPr>
      </w:pPr>
    </w:p>
    <w:p w14:paraId="182CB501" w14:textId="68819706" w:rsidR="00841AED" w:rsidRPr="00841AED" w:rsidRDefault="00841AED" w:rsidP="00841AED">
      <w:pPr>
        <w:pStyle w:val="Listenabsatz"/>
        <w:numPr>
          <w:ilvl w:val="0"/>
          <w:numId w:val="1"/>
        </w:numPr>
        <w:rPr>
          <w:bCs/>
        </w:rPr>
      </w:pPr>
      <w:r w:rsidRPr="00841AED">
        <w:rPr>
          <w:bCs/>
        </w:rPr>
        <w:t>Bestellung zur Kämmerin und zur weiteren Vertreterin des</w:t>
      </w:r>
      <w:r w:rsidRPr="00841AED">
        <w:rPr>
          <w:bCs/>
        </w:rPr>
        <w:t xml:space="preserve"> </w:t>
      </w:r>
      <w:r w:rsidRPr="00841AED">
        <w:rPr>
          <w:bCs/>
        </w:rPr>
        <w:t>Bürgermeisters</w:t>
      </w:r>
    </w:p>
    <w:p w14:paraId="5BB5CCE0" w14:textId="4A3E262C" w:rsidR="00841AED" w:rsidRDefault="00841AED" w:rsidP="00841AED">
      <w:pPr>
        <w:ind w:left="720"/>
        <w:rPr>
          <w:bCs/>
          <w:color w:val="FF0000"/>
        </w:rPr>
      </w:pPr>
      <w:r w:rsidRPr="00841AED">
        <w:rPr>
          <w:bCs/>
          <w:color w:val="FF0000"/>
        </w:rPr>
        <w:t xml:space="preserve">Der Rat bestellt Frau Janina </w:t>
      </w:r>
      <w:proofErr w:type="spellStart"/>
      <w:r w:rsidRPr="00841AED">
        <w:rPr>
          <w:bCs/>
          <w:color w:val="FF0000"/>
        </w:rPr>
        <w:t>Hortmann</w:t>
      </w:r>
      <w:proofErr w:type="spellEnd"/>
      <w:r w:rsidRPr="00841AED">
        <w:rPr>
          <w:bCs/>
          <w:color w:val="FF0000"/>
        </w:rPr>
        <w:t xml:space="preserve"> zur Kämmerin und weiteren Vertreterin des Bürgermeisters</w:t>
      </w:r>
    </w:p>
    <w:p w14:paraId="0CDA2DB1" w14:textId="77777777" w:rsidR="00841AED" w:rsidRPr="00841AED" w:rsidRDefault="00841AED" w:rsidP="00841AED">
      <w:pPr>
        <w:ind w:left="720"/>
        <w:rPr>
          <w:bCs/>
          <w:color w:val="FF0000"/>
        </w:rPr>
      </w:pPr>
    </w:p>
    <w:p w14:paraId="5F12487A" w14:textId="54E37E2F" w:rsidR="00841AED" w:rsidRDefault="00841AED" w:rsidP="00841AED">
      <w:pPr>
        <w:pStyle w:val="Listenabsatz"/>
        <w:numPr>
          <w:ilvl w:val="0"/>
          <w:numId w:val="1"/>
        </w:numPr>
        <w:rPr>
          <w:bCs/>
        </w:rPr>
      </w:pPr>
      <w:r w:rsidRPr="00841AED">
        <w:rPr>
          <w:bCs/>
        </w:rPr>
        <w:t>Satzung über das Führen und die Verwendung des Wappens und</w:t>
      </w:r>
      <w:r w:rsidRPr="00841AED">
        <w:rPr>
          <w:bCs/>
        </w:rPr>
        <w:t xml:space="preserve"> </w:t>
      </w:r>
      <w:r w:rsidRPr="00841AED">
        <w:rPr>
          <w:bCs/>
        </w:rPr>
        <w:t>des Wappenzeichens der Stadt Bergneustadt</w:t>
      </w:r>
    </w:p>
    <w:p w14:paraId="48CE6E3A" w14:textId="77777777" w:rsidR="00841AED" w:rsidRDefault="00841AED" w:rsidP="00841AED">
      <w:pPr>
        <w:pStyle w:val="Listenabsatz"/>
        <w:rPr>
          <w:bCs/>
        </w:rPr>
      </w:pPr>
    </w:p>
    <w:p w14:paraId="78AFEB53" w14:textId="650C78B2" w:rsidR="00841AED" w:rsidRDefault="00841AED" w:rsidP="00841AED">
      <w:pPr>
        <w:pStyle w:val="Listenabsatz"/>
        <w:rPr>
          <w:bCs/>
          <w:color w:val="FF0000"/>
        </w:rPr>
      </w:pPr>
      <w:r>
        <w:rPr>
          <w:bCs/>
          <w:color w:val="FF0000"/>
        </w:rPr>
        <w:t xml:space="preserve">Der Rat hat die </w:t>
      </w:r>
      <w:proofErr w:type="spellStart"/>
      <w:r>
        <w:rPr>
          <w:bCs/>
          <w:color w:val="FF0000"/>
        </w:rPr>
        <w:t>Satzng</w:t>
      </w:r>
      <w:proofErr w:type="spellEnd"/>
      <w:r>
        <w:rPr>
          <w:bCs/>
          <w:color w:val="FF0000"/>
        </w:rPr>
        <w:t xml:space="preserve"> beschlossen. Sie besagt:</w:t>
      </w:r>
    </w:p>
    <w:p w14:paraId="48111915" w14:textId="1A8EF093" w:rsidR="00841AED" w:rsidRPr="00841AED" w:rsidRDefault="00841AED" w:rsidP="00841AED">
      <w:pPr>
        <w:pStyle w:val="Listenabsatz"/>
        <w:rPr>
          <w:bCs/>
          <w:color w:val="FF0000"/>
        </w:rPr>
      </w:pPr>
      <w:r w:rsidRPr="00841AED">
        <w:rPr>
          <w:bCs/>
          <w:color w:val="FF0000"/>
        </w:rPr>
        <w:t xml:space="preserve">Das Wappen (Anlage 1) führt die Stadt Bergneustadt. Auf Antrag kann für örtliche Organisationen eine Genehmigung erteilt werden. </w:t>
      </w:r>
    </w:p>
    <w:p w14:paraId="3C516B52" w14:textId="77777777" w:rsidR="00841AED" w:rsidRDefault="00841AED" w:rsidP="00841AED">
      <w:pPr>
        <w:pStyle w:val="Listenabsatz"/>
        <w:rPr>
          <w:bCs/>
          <w:color w:val="FF0000"/>
        </w:rPr>
      </w:pPr>
    </w:p>
    <w:p w14:paraId="2F897F7C" w14:textId="24B12E7E" w:rsidR="00841AED" w:rsidRDefault="00841AED" w:rsidP="00841AED">
      <w:pPr>
        <w:pStyle w:val="Listenabsatz"/>
        <w:rPr>
          <w:bCs/>
          <w:color w:val="FF0000"/>
        </w:rPr>
      </w:pPr>
      <w:r w:rsidRPr="00841AED">
        <w:rPr>
          <w:bCs/>
          <w:color w:val="FF0000"/>
        </w:rPr>
        <w:t xml:space="preserve">Das </w:t>
      </w:r>
      <w:proofErr w:type="spellStart"/>
      <w:r w:rsidRPr="00841AED">
        <w:rPr>
          <w:bCs/>
          <w:color w:val="FF0000"/>
        </w:rPr>
        <w:t>WappenZEICHEN</w:t>
      </w:r>
      <w:proofErr w:type="spellEnd"/>
      <w:r w:rsidRPr="00841AED">
        <w:rPr>
          <w:bCs/>
          <w:color w:val="FF0000"/>
        </w:rPr>
        <w:t xml:space="preserve"> (Anlage 2) ist genehmigungsfrei</w:t>
      </w:r>
      <w:r>
        <w:rPr>
          <w:bCs/>
          <w:color w:val="FF0000"/>
        </w:rPr>
        <w:t xml:space="preserve">, sofern die Genehmigungsbedingungen erfüllt sind. </w:t>
      </w:r>
    </w:p>
    <w:p w14:paraId="6F0EC53A" w14:textId="77777777" w:rsidR="00841AED" w:rsidRPr="00841AED" w:rsidRDefault="00841AED" w:rsidP="00841AED">
      <w:pPr>
        <w:pStyle w:val="Listenabsatz"/>
        <w:rPr>
          <w:bCs/>
          <w:color w:val="FF0000"/>
        </w:rPr>
      </w:pPr>
    </w:p>
    <w:p w14:paraId="6CBE2021" w14:textId="703E5D94" w:rsidR="00841AED" w:rsidRDefault="00841AED" w:rsidP="00841AED">
      <w:pPr>
        <w:ind w:firstLine="708"/>
        <w:rPr>
          <w:noProof/>
        </w:rPr>
      </w:pPr>
      <w:r w:rsidRPr="00841AED">
        <w:rPr>
          <w:bCs/>
        </w:rPr>
        <w:drawing>
          <wp:inline distT="0" distB="0" distL="0" distR="0" wp14:anchorId="3FC6C7F7" wp14:editId="7135A5A5">
            <wp:extent cx="803082" cy="1200150"/>
            <wp:effectExtent l="0" t="0" r="0" b="0"/>
            <wp:docPr id="226700419" name="Grafik 1" descr="Ein Bild, das Text, Screenshot,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700419" name="Grafik 1" descr="Ein Bild, das Text, Screenshot, Schrift, Logo enthält.&#10;&#10;Automatisch generierte Beschreibung"/>
                    <pic:cNvPicPr/>
                  </pic:nvPicPr>
                  <pic:blipFill rotWithShape="1">
                    <a:blip r:embed="rId5"/>
                    <a:srcRect r="74057" b="64901"/>
                    <a:stretch/>
                  </pic:blipFill>
                  <pic:spPr bwMode="auto">
                    <a:xfrm>
                      <a:off x="0" y="0"/>
                      <a:ext cx="808407" cy="1208108"/>
                    </a:xfrm>
                    <a:prstGeom prst="rect">
                      <a:avLst/>
                    </a:prstGeom>
                    <a:ln>
                      <a:noFill/>
                    </a:ln>
                    <a:extLst>
                      <a:ext uri="{53640926-AAD7-44D8-BBD7-CCE9431645EC}">
                        <a14:shadowObscured xmlns:a14="http://schemas.microsoft.com/office/drawing/2010/main"/>
                      </a:ext>
                    </a:extLst>
                  </pic:spPr>
                </pic:pic>
              </a:graphicData>
            </a:graphic>
          </wp:inline>
        </w:drawing>
      </w:r>
      <w:r w:rsidRPr="00841AED">
        <w:rPr>
          <w:noProof/>
        </w:rPr>
        <w:t xml:space="preserve"> </w:t>
      </w:r>
      <w:r w:rsidRPr="00841AED">
        <w:rPr>
          <w:bCs/>
        </w:rPr>
        <w:drawing>
          <wp:inline distT="0" distB="0" distL="0" distR="0" wp14:anchorId="5369B3B3" wp14:editId="4E0AC6F6">
            <wp:extent cx="1894729" cy="1225163"/>
            <wp:effectExtent l="0" t="0" r="0" b="0"/>
            <wp:docPr id="226766385" name="Grafik 1" descr="Ein Bild, das Text, Schrift,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766385" name="Grafik 1" descr="Ein Bild, das Text, Schrift, Screenshot, Logo enthält.&#10;&#10;Automatisch generierte Beschreibung"/>
                    <pic:cNvPicPr/>
                  </pic:nvPicPr>
                  <pic:blipFill>
                    <a:blip r:embed="rId6"/>
                    <a:stretch>
                      <a:fillRect/>
                    </a:stretch>
                  </pic:blipFill>
                  <pic:spPr>
                    <a:xfrm>
                      <a:off x="0" y="0"/>
                      <a:ext cx="1958970" cy="1266702"/>
                    </a:xfrm>
                    <a:prstGeom prst="rect">
                      <a:avLst/>
                    </a:prstGeom>
                  </pic:spPr>
                </pic:pic>
              </a:graphicData>
            </a:graphic>
          </wp:inline>
        </w:drawing>
      </w:r>
    </w:p>
    <w:p w14:paraId="6D6562A2" w14:textId="67D03FC3" w:rsidR="00841AED" w:rsidRPr="00841AED" w:rsidRDefault="00841AED" w:rsidP="00841AED">
      <w:pPr>
        <w:ind w:firstLine="708"/>
        <w:rPr>
          <w:bCs/>
        </w:rPr>
      </w:pPr>
      <w:r w:rsidRPr="00841AED">
        <w:rPr>
          <w:bCs/>
        </w:rPr>
        <w:drawing>
          <wp:anchor distT="0" distB="0" distL="114300" distR="114300" simplePos="0" relativeHeight="251658240" behindDoc="0" locked="0" layoutInCell="1" allowOverlap="1" wp14:anchorId="420DDB9B" wp14:editId="5DFC0EC6">
            <wp:simplePos x="0" y="0"/>
            <wp:positionH relativeFrom="column">
              <wp:posOffset>2327910</wp:posOffset>
            </wp:positionH>
            <wp:positionV relativeFrom="paragraph">
              <wp:posOffset>186690</wp:posOffset>
            </wp:positionV>
            <wp:extent cx="3291840" cy="2388870"/>
            <wp:effectExtent l="0" t="0" r="0" b="0"/>
            <wp:wrapSquare wrapText="bothSides"/>
            <wp:docPr id="1701552107" name="Grafik 1" descr="Ein Bild, das Screenshot,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552107" name="Grafik 1" descr="Ein Bild, das Screenshot, Text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91840" cy="2388870"/>
                    </a:xfrm>
                    <a:prstGeom prst="rect">
                      <a:avLst/>
                    </a:prstGeom>
                  </pic:spPr>
                </pic:pic>
              </a:graphicData>
            </a:graphic>
            <wp14:sizeRelH relativeFrom="page">
              <wp14:pctWidth>0</wp14:pctWidth>
            </wp14:sizeRelH>
            <wp14:sizeRelV relativeFrom="page">
              <wp14:pctHeight>0</wp14:pctHeight>
            </wp14:sizeRelV>
          </wp:anchor>
        </w:drawing>
      </w:r>
    </w:p>
    <w:p w14:paraId="4DC5BC02" w14:textId="545AA840" w:rsidR="00841AED" w:rsidRPr="00841AED" w:rsidRDefault="00841AED" w:rsidP="00841AED">
      <w:pPr>
        <w:pStyle w:val="Listenabsatz"/>
        <w:numPr>
          <w:ilvl w:val="0"/>
          <w:numId w:val="1"/>
        </w:numPr>
        <w:rPr>
          <w:bCs/>
        </w:rPr>
      </w:pPr>
      <w:r w:rsidRPr="00841AED">
        <w:rPr>
          <w:bCs/>
        </w:rPr>
        <w:t>Schülerbeförderung</w:t>
      </w:r>
    </w:p>
    <w:p w14:paraId="251E112F" w14:textId="338C56A1" w:rsidR="00841AED" w:rsidRDefault="00841AED" w:rsidP="00841AED">
      <w:pPr>
        <w:ind w:left="708"/>
        <w:rPr>
          <w:bCs/>
        </w:rPr>
      </w:pPr>
      <w:r w:rsidRPr="00841AED">
        <w:rPr>
          <w:bCs/>
        </w:rPr>
        <w:t>hier: Entscheidung des Schulträgers über die wirtschaftlichste</w:t>
      </w:r>
      <w:r>
        <w:rPr>
          <w:bCs/>
        </w:rPr>
        <w:t xml:space="preserve"> </w:t>
      </w:r>
      <w:r w:rsidRPr="00841AED">
        <w:rPr>
          <w:bCs/>
        </w:rPr>
        <w:t>Beförderung und Festsetzung der Eigenanteile</w:t>
      </w:r>
    </w:p>
    <w:p w14:paraId="59B131DB" w14:textId="7BC80D32" w:rsidR="00841AED" w:rsidRDefault="00841AED" w:rsidP="00841AED">
      <w:pPr>
        <w:ind w:left="708"/>
        <w:rPr>
          <w:bCs/>
        </w:rPr>
      </w:pPr>
      <w:r w:rsidRPr="00841AED">
        <w:rPr>
          <w:bCs/>
          <w:color w:val="FF0000"/>
        </w:rPr>
        <w:t>Der Rat beschließt folgende Sätze</w:t>
      </w:r>
      <w:r>
        <w:rPr>
          <w:bCs/>
        </w:rPr>
        <w:t>:</w:t>
      </w:r>
    </w:p>
    <w:p w14:paraId="26D8DBD1" w14:textId="19583404" w:rsidR="00841AED" w:rsidRPr="00841AED" w:rsidRDefault="00841AED" w:rsidP="00841AED">
      <w:pPr>
        <w:ind w:left="708"/>
        <w:rPr>
          <w:bCs/>
        </w:rPr>
      </w:pPr>
    </w:p>
    <w:p w14:paraId="7E7AA0D3" w14:textId="77777777" w:rsidR="00841AED" w:rsidRDefault="00841AED">
      <w:pPr>
        <w:rPr>
          <w:bCs/>
        </w:rPr>
      </w:pPr>
      <w:r>
        <w:rPr>
          <w:bCs/>
        </w:rPr>
        <w:br w:type="page"/>
      </w:r>
    </w:p>
    <w:p w14:paraId="6933C928" w14:textId="6EE5BC6D" w:rsidR="00841AED" w:rsidRPr="00841AED" w:rsidRDefault="00841AED" w:rsidP="00841AED">
      <w:pPr>
        <w:pStyle w:val="Listenabsatz"/>
        <w:numPr>
          <w:ilvl w:val="0"/>
          <w:numId w:val="1"/>
        </w:numPr>
        <w:rPr>
          <w:bCs/>
        </w:rPr>
      </w:pPr>
      <w:r w:rsidRPr="00841AED">
        <w:rPr>
          <w:bCs/>
        </w:rPr>
        <w:lastRenderedPageBreak/>
        <w:t>Antrag der SPD-Fraktion betr. Gründung eines medizinischen</w:t>
      </w:r>
      <w:r w:rsidRPr="00841AED">
        <w:rPr>
          <w:bCs/>
        </w:rPr>
        <w:t xml:space="preserve"> </w:t>
      </w:r>
      <w:r w:rsidRPr="00841AED">
        <w:rPr>
          <w:bCs/>
        </w:rPr>
        <w:t>Versorgungszentrums mit kommunaler Beteiligung</w:t>
      </w:r>
    </w:p>
    <w:p w14:paraId="4B0006B1" w14:textId="77777777" w:rsidR="00841AED" w:rsidRDefault="00841AED" w:rsidP="00841AED">
      <w:pPr>
        <w:pStyle w:val="Listenabsatz"/>
        <w:rPr>
          <w:bCs/>
          <w:color w:val="FF0000"/>
        </w:rPr>
      </w:pPr>
    </w:p>
    <w:p w14:paraId="11FC6937" w14:textId="151468AA" w:rsidR="00841AED" w:rsidRDefault="00841AED" w:rsidP="00841AED">
      <w:pPr>
        <w:pStyle w:val="Listenabsatz"/>
        <w:rPr>
          <w:bCs/>
          <w:color w:val="FF0000"/>
        </w:rPr>
      </w:pPr>
      <w:r w:rsidRPr="00841AED">
        <w:rPr>
          <w:bCs/>
          <w:color w:val="FF0000"/>
        </w:rPr>
        <w:t>Die SPD hatte de</w:t>
      </w:r>
      <w:r>
        <w:rPr>
          <w:bCs/>
          <w:color w:val="FF0000"/>
        </w:rPr>
        <w:t xml:space="preserve">n Antrag gestellt, ein medizinisches Versorgungszentrum mit kommunaler Beteiligung zu gründen. </w:t>
      </w:r>
    </w:p>
    <w:p w14:paraId="0C82FF98" w14:textId="78E672B9" w:rsidR="00841AED" w:rsidRDefault="00841AED" w:rsidP="00841AED">
      <w:pPr>
        <w:pStyle w:val="Listenabsatz"/>
        <w:rPr>
          <w:bCs/>
          <w:color w:val="FF0000"/>
        </w:rPr>
      </w:pPr>
      <w:r>
        <w:rPr>
          <w:bCs/>
          <w:color w:val="FF0000"/>
        </w:rPr>
        <w:t xml:space="preserve">In einer Informationsveranstaltung am Montag vor dem Rat hatte die SPD die Problemlage und Modelle vorgestellt, aber auch harsche Kritik z.B. von den anwesenden Ärzten erfahren, das Problem liege nicht an den Räumlichkeiten, sondern am Ärztemangel und den Bezahlungsstrukturen. </w:t>
      </w:r>
    </w:p>
    <w:p w14:paraId="22EFD3E0" w14:textId="6620D83C" w:rsidR="00841AED" w:rsidRDefault="00841AED" w:rsidP="00841AED">
      <w:pPr>
        <w:pStyle w:val="Listenabsatz"/>
        <w:rPr>
          <w:bCs/>
          <w:color w:val="FF0000"/>
        </w:rPr>
      </w:pPr>
      <w:r>
        <w:rPr>
          <w:bCs/>
          <w:color w:val="FF0000"/>
        </w:rPr>
        <w:t xml:space="preserve">Ein MVZ kann aus Sicht der CDU das Problem insofern lindern, als dass es eine Nachfrage nach Angestelltenverhältnissen mit Teilzeitmöglichkeiten bei jungen Ärztinnen und Ärzten gibt. Da sich der Oberbergische Kreis soeben an der MVZ Oberberg beteiligt hat, besteht die Möglichkeit, ein MVZ über diese Struktur einzurichten, zudem sind hier weiter Modelle denkbar als die vorgeschlagenen. Zur weiteren Beratung hat der Rat den Antrag in den Ausschuss für Soziales verwiesen. </w:t>
      </w:r>
    </w:p>
    <w:p w14:paraId="14EAED55" w14:textId="02085289" w:rsidR="00841AED" w:rsidRPr="00841AED" w:rsidRDefault="00841AED" w:rsidP="00841AED">
      <w:pPr>
        <w:pStyle w:val="Listenabsatz"/>
        <w:rPr>
          <w:bCs/>
          <w:color w:val="FF0000"/>
        </w:rPr>
      </w:pPr>
    </w:p>
    <w:p w14:paraId="02B8E325" w14:textId="1C486E37" w:rsidR="00841AED" w:rsidRPr="00841AED" w:rsidRDefault="00841AED" w:rsidP="00841AED">
      <w:pPr>
        <w:pStyle w:val="Listenabsatz"/>
        <w:numPr>
          <w:ilvl w:val="0"/>
          <w:numId w:val="1"/>
        </w:numPr>
        <w:rPr>
          <w:bCs/>
        </w:rPr>
      </w:pPr>
      <w:r w:rsidRPr="00841AED">
        <w:rPr>
          <w:bCs/>
        </w:rPr>
        <w:t>Flüchtlinge / Asyl</w:t>
      </w:r>
    </w:p>
    <w:p w14:paraId="66A9D475" w14:textId="77777777" w:rsidR="00841AED" w:rsidRPr="00841AED" w:rsidRDefault="00841AED" w:rsidP="00841AED">
      <w:pPr>
        <w:rPr>
          <w:bCs/>
        </w:rPr>
      </w:pPr>
    </w:p>
    <w:p w14:paraId="2AB7D6F6" w14:textId="2ADB7691" w:rsidR="00841AED" w:rsidRPr="00841AED" w:rsidRDefault="00841AED" w:rsidP="00841AED">
      <w:pPr>
        <w:pStyle w:val="Listenabsatz"/>
        <w:numPr>
          <w:ilvl w:val="0"/>
          <w:numId w:val="1"/>
        </w:numPr>
        <w:rPr>
          <w:bCs/>
        </w:rPr>
      </w:pPr>
      <w:r w:rsidRPr="00841AED">
        <w:rPr>
          <w:bCs/>
        </w:rPr>
        <w:t>Mitteilungen</w:t>
      </w:r>
    </w:p>
    <w:p w14:paraId="37FCFD10" w14:textId="366D867B" w:rsidR="00841AED" w:rsidRPr="00841AED" w:rsidRDefault="00841AED" w:rsidP="00841AED">
      <w:pPr>
        <w:pStyle w:val="Listenabsatz"/>
        <w:numPr>
          <w:ilvl w:val="1"/>
          <w:numId w:val="1"/>
        </w:numPr>
        <w:rPr>
          <w:bCs/>
        </w:rPr>
      </w:pPr>
      <w:r w:rsidRPr="00841AED">
        <w:rPr>
          <w:bCs/>
        </w:rPr>
        <w:t>Vorlage des Entwurfs des Jahresabschlusses der Stadt</w:t>
      </w:r>
      <w:r w:rsidRPr="00841AED">
        <w:rPr>
          <w:bCs/>
        </w:rPr>
        <w:t xml:space="preserve"> </w:t>
      </w:r>
      <w:r w:rsidRPr="00841AED">
        <w:rPr>
          <w:bCs/>
        </w:rPr>
        <w:t>Bergneustadt zum 31.12.2023</w:t>
      </w:r>
    </w:p>
    <w:p w14:paraId="4D725682" w14:textId="0D77BEBB" w:rsidR="00841AED" w:rsidRDefault="00841AED" w:rsidP="00841AED">
      <w:pPr>
        <w:ind w:left="1080"/>
        <w:rPr>
          <w:bCs/>
          <w:color w:val="FF0000"/>
        </w:rPr>
      </w:pPr>
      <w:r>
        <w:rPr>
          <w:bCs/>
          <w:color w:val="FF0000"/>
        </w:rPr>
        <w:t xml:space="preserve">Der Jahresabschluss 2023 sieht im Entwurf ein Plus von rund zwei Millionen Euro vor. Gegenüber dem 2022 prognostizierten Abschluss von Minus 7,6 Millionen Euro eine sehr erfreuliche Entwicklung. Ursache sind vor allem deutliche höhere Gewerbesteuern (+2,4 Millionen Euro) und Fördermittel, vor allem für den Breitbandausbau (3,6 Millionen), die </w:t>
      </w:r>
      <w:proofErr w:type="gramStart"/>
      <w:r>
        <w:rPr>
          <w:bCs/>
          <w:color w:val="FF0000"/>
        </w:rPr>
        <w:t>in 2023</w:t>
      </w:r>
      <w:proofErr w:type="gramEnd"/>
      <w:r>
        <w:rPr>
          <w:bCs/>
          <w:color w:val="FF0000"/>
        </w:rPr>
        <w:t xml:space="preserve"> verbucht wurden. </w:t>
      </w:r>
    </w:p>
    <w:p w14:paraId="5B56E3DB" w14:textId="77777777" w:rsidR="00841AED" w:rsidRPr="00841AED" w:rsidRDefault="00841AED" w:rsidP="00841AED">
      <w:pPr>
        <w:ind w:left="1080"/>
        <w:rPr>
          <w:bCs/>
          <w:color w:val="FF0000"/>
        </w:rPr>
      </w:pPr>
    </w:p>
    <w:p w14:paraId="7F8525FD" w14:textId="3B6F9D00" w:rsidR="00841AED" w:rsidRPr="00841AED" w:rsidRDefault="00841AED" w:rsidP="00841AED">
      <w:pPr>
        <w:pStyle w:val="Listenabsatz"/>
        <w:numPr>
          <w:ilvl w:val="0"/>
          <w:numId w:val="1"/>
        </w:numPr>
        <w:rPr>
          <w:bCs/>
        </w:rPr>
      </w:pPr>
      <w:r w:rsidRPr="00841AED">
        <w:rPr>
          <w:bCs/>
        </w:rPr>
        <w:t>Anfragen, Anregungen, Hinweise</w:t>
      </w:r>
    </w:p>
    <w:p w14:paraId="333F747B" w14:textId="169EE064" w:rsidR="00841AED" w:rsidRPr="00841AED" w:rsidRDefault="00841AED" w:rsidP="00841AED">
      <w:pPr>
        <w:pStyle w:val="Listenabsatz"/>
        <w:numPr>
          <w:ilvl w:val="1"/>
          <w:numId w:val="1"/>
        </w:numPr>
        <w:rPr>
          <w:bCs/>
        </w:rPr>
      </w:pPr>
      <w:r w:rsidRPr="00841AED">
        <w:rPr>
          <w:bCs/>
        </w:rPr>
        <w:t>Anfrage der SPD-Fraktion betr. Verhandlungen und Planungen</w:t>
      </w:r>
      <w:r w:rsidRPr="00841AED">
        <w:rPr>
          <w:bCs/>
        </w:rPr>
        <w:t xml:space="preserve"> </w:t>
      </w:r>
      <w:r w:rsidRPr="00841AED">
        <w:rPr>
          <w:bCs/>
        </w:rPr>
        <w:t>hinsichtlich inklusiver Bildung und Bauplätzen für</w:t>
      </w:r>
      <w:r w:rsidRPr="00841AED">
        <w:rPr>
          <w:bCs/>
        </w:rPr>
        <w:t xml:space="preserve"> </w:t>
      </w:r>
      <w:r w:rsidRPr="00841AED">
        <w:rPr>
          <w:bCs/>
        </w:rPr>
        <w:t>Bildungseinrichtungen vom 15.03.2023</w:t>
      </w:r>
    </w:p>
    <w:p w14:paraId="59CC8889" w14:textId="77777777" w:rsidR="00841AED" w:rsidRPr="00841AED" w:rsidRDefault="00841AED" w:rsidP="00841AED">
      <w:pPr>
        <w:pStyle w:val="Listenabsatz"/>
        <w:ind w:left="1080"/>
        <w:rPr>
          <w:bCs/>
        </w:rPr>
      </w:pPr>
    </w:p>
    <w:p w14:paraId="1BFB9178" w14:textId="778A1F29" w:rsidR="00841AED" w:rsidRDefault="00841AED" w:rsidP="00841AED">
      <w:pPr>
        <w:ind w:left="1080"/>
        <w:rPr>
          <w:bCs/>
          <w:color w:val="FF0000"/>
        </w:rPr>
      </w:pPr>
      <w:r w:rsidRPr="00841AED">
        <w:rPr>
          <w:bCs/>
          <w:color w:val="FF0000"/>
        </w:rPr>
        <w:t xml:space="preserve">Die SPD hatte </w:t>
      </w:r>
      <w:r>
        <w:rPr>
          <w:bCs/>
          <w:color w:val="FF0000"/>
        </w:rPr>
        <w:t xml:space="preserve">angefragt, ob die Stadt Verhandlungen führe, um inklusive Bildungseinrichtungen einzurichten und inwieweit die Verwaltung die Beschulung von Schülerinnen und Schülern mit Behinderung sicherstellt. </w:t>
      </w:r>
    </w:p>
    <w:p w14:paraId="19EB6D37" w14:textId="77777777" w:rsidR="00841AED" w:rsidRDefault="00841AED" w:rsidP="00841AED">
      <w:pPr>
        <w:ind w:left="1080"/>
        <w:rPr>
          <w:rFonts w:ascii="Calibri" w:hAnsi="Calibri" w:cs="Calibri"/>
          <w:bCs/>
          <w:color w:val="FF0000"/>
        </w:rPr>
      </w:pPr>
    </w:p>
    <w:p w14:paraId="37C2182F" w14:textId="6A3FEB6D" w:rsidR="00841AED" w:rsidRPr="00841AED" w:rsidRDefault="00841AED" w:rsidP="00841AED">
      <w:pPr>
        <w:ind w:left="1080"/>
        <w:rPr>
          <w:bCs/>
          <w:i/>
          <w:iCs/>
        </w:rPr>
      </w:pPr>
      <w:r w:rsidRPr="00841AED">
        <w:rPr>
          <w:rFonts w:ascii="Calibri" w:hAnsi="Calibri" w:cs="Calibri"/>
          <w:bCs/>
          <w:color w:val="FF0000"/>
        </w:rPr>
        <w:t>﻿</w:t>
      </w:r>
      <w:r w:rsidRPr="00841AED">
        <w:rPr>
          <w:bCs/>
          <w:i/>
          <w:iCs/>
        </w:rPr>
        <w:t>Zu Frage 1. teilt BM Thul mit, dass es tatsächlich eine Anfrage gegeben habe. Um</w:t>
      </w:r>
      <w:r w:rsidRPr="00841AED">
        <w:rPr>
          <w:bCs/>
          <w:i/>
          <w:iCs/>
        </w:rPr>
        <w:t xml:space="preserve"> </w:t>
      </w:r>
      <w:r w:rsidRPr="00841AED">
        <w:rPr>
          <w:bCs/>
          <w:i/>
          <w:iCs/>
        </w:rPr>
        <w:t>wen es sich handele, könne er nur in nichtöffentlicher Sitzung beantworten. Es</w:t>
      </w:r>
      <w:r w:rsidRPr="00841AED">
        <w:rPr>
          <w:bCs/>
          <w:i/>
          <w:iCs/>
        </w:rPr>
        <w:t xml:space="preserve"> </w:t>
      </w:r>
      <w:r w:rsidRPr="00841AED">
        <w:rPr>
          <w:bCs/>
          <w:i/>
          <w:iCs/>
        </w:rPr>
        <w:t>seien keine Verhandlungen geführt worden. Durch den Kauf des Schullandheimes</w:t>
      </w:r>
      <w:r w:rsidRPr="00841AED">
        <w:rPr>
          <w:bCs/>
          <w:i/>
          <w:iCs/>
        </w:rPr>
        <w:t xml:space="preserve"> </w:t>
      </w:r>
      <w:r w:rsidRPr="00841AED">
        <w:rPr>
          <w:bCs/>
          <w:i/>
          <w:iCs/>
        </w:rPr>
        <w:t>sei es baurechtlich möglich, dort eine Schule zu bauen. Das Schullandheim käme</w:t>
      </w:r>
      <w:r w:rsidRPr="00841AED">
        <w:rPr>
          <w:bCs/>
          <w:i/>
          <w:iCs/>
        </w:rPr>
        <w:t xml:space="preserve"> </w:t>
      </w:r>
      <w:r w:rsidRPr="00841AED">
        <w:rPr>
          <w:bCs/>
          <w:i/>
          <w:iCs/>
        </w:rPr>
        <w:t>als Schulstandort in Frage. Planungen gebe es nicht, jedoch Anfragen.</w:t>
      </w:r>
    </w:p>
    <w:p w14:paraId="7148A32A" w14:textId="025844B7" w:rsidR="00841AED" w:rsidRPr="00841AED" w:rsidRDefault="00841AED" w:rsidP="00841AED">
      <w:pPr>
        <w:ind w:left="1080"/>
        <w:rPr>
          <w:bCs/>
          <w:i/>
          <w:iCs/>
        </w:rPr>
      </w:pPr>
      <w:r w:rsidRPr="00841AED">
        <w:rPr>
          <w:bCs/>
          <w:i/>
          <w:iCs/>
        </w:rPr>
        <w:t>Zu Frage 2. weist BM Thul darauf hin, dass die Verwaltung als Schulträger für den</w:t>
      </w:r>
      <w:r w:rsidRPr="00841AED">
        <w:rPr>
          <w:bCs/>
          <w:i/>
          <w:iCs/>
        </w:rPr>
        <w:t xml:space="preserve"> </w:t>
      </w:r>
      <w:r w:rsidRPr="00841AED">
        <w:rPr>
          <w:bCs/>
          <w:i/>
          <w:iCs/>
        </w:rPr>
        <w:t>baulichen Zustand zuständig sei, nicht für den pädagogischen. Für den pädagogischen Teil sei die Bezirksregierung zuständig. Darüber hinaus sei für Schüler mit</w:t>
      </w:r>
      <w:r w:rsidRPr="00841AED">
        <w:rPr>
          <w:bCs/>
          <w:i/>
          <w:iCs/>
        </w:rPr>
        <w:t xml:space="preserve"> </w:t>
      </w:r>
      <w:r w:rsidRPr="00841AED">
        <w:rPr>
          <w:bCs/>
          <w:i/>
          <w:iCs/>
        </w:rPr>
        <w:t>Behinderung der Landschaftsverband verantwortlich.</w:t>
      </w:r>
    </w:p>
    <w:p w14:paraId="648CD746" w14:textId="5B2AC622" w:rsidR="00841AED" w:rsidRPr="00841AED" w:rsidRDefault="00841AED" w:rsidP="00841AED">
      <w:pPr>
        <w:ind w:left="1080"/>
        <w:rPr>
          <w:bCs/>
          <w:i/>
          <w:iCs/>
        </w:rPr>
      </w:pPr>
      <w:r w:rsidRPr="00841AED">
        <w:rPr>
          <w:bCs/>
          <w:i/>
          <w:iCs/>
        </w:rPr>
        <w:lastRenderedPageBreak/>
        <w:t>Zu Frage 3. erklärt der BM, dass die Stadtverwaltung ihren gesetzlichen Auftrag</w:t>
      </w:r>
      <w:r w:rsidRPr="00841AED">
        <w:rPr>
          <w:bCs/>
          <w:i/>
          <w:iCs/>
        </w:rPr>
        <w:t xml:space="preserve"> </w:t>
      </w:r>
      <w:r w:rsidRPr="00841AED">
        <w:rPr>
          <w:bCs/>
          <w:i/>
          <w:iCs/>
        </w:rPr>
        <w:t>erfülle. Dieser umfasse weder den Kauf, Verkauf oder Bau von Gebäuden. Dies sei</w:t>
      </w:r>
      <w:r w:rsidRPr="00841AED">
        <w:rPr>
          <w:bCs/>
          <w:i/>
          <w:iCs/>
        </w:rPr>
        <w:t xml:space="preserve"> </w:t>
      </w:r>
      <w:r w:rsidRPr="00841AED">
        <w:rPr>
          <w:bCs/>
          <w:i/>
          <w:iCs/>
        </w:rPr>
        <w:t>nicht Angelegenheit der Stadtverwaltung.</w:t>
      </w:r>
    </w:p>
    <w:p w14:paraId="3B69FF20" w14:textId="7E8D5ADB" w:rsidR="00841AED" w:rsidRDefault="00841AED" w:rsidP="00841AED">
      <w:pPr>
        <w:ind w:left="1080"/>
        <w:rPr>
          <w:bCs/>
          <w:i/>
          <w:iCs/>
        </w:rPr>
      </w:pPr>
      <w:r w:rsidRPr="00841AED">
        <w:rPr>
          <w:bCs/>
          <w:i/>
          <w:iCs/>
        </w:rPr>
        <w:t>Zu Frage 5. lautet die Antwort des BM, dass in allen weiterführenden Schulen eine</w:t>
      </w:r>
      <w:r w:rsidRPr="00841AED">
        <w:rPr>
          <w:bCs/>
          <w:i/>
          <w:iCs/>
        </w:rPr>
        <w:t xml:space="preserve"> </w:t>
      </w:r>
      <w:r w:rsidRPr="00841AED">
        <w:rPr>
          <w:bCs/>
          <w:i/>
          <w:iCs/>
        </w:rPr>
        <w:t>inklusive Beschulung möglich sei. Aber auch in den Grundschulen sei eine inklusive Beschulung grundsätzlich möglich.</w:t>
      </w:r>
    </w:p>
    <w:p w14:paraId="37881C32" w14:textId="77777777" w:rsidR="00841AED" w:rsidRDefault="00841AED" w:rsidP="00841AED">
      <w:pPr>
        <w:rPr>
          <w:rFonts w:ascii="Calibri" w:hAnsi="Calibri" w:cs="Calibri"/>
          <w:bCs/>
        </w:rPr>
      </w:pPr>
      <w:r w:rsidRPr="00841AED">
        <w:rPr>
          <w:rFonts w:ascii="Calibri" w:hAnsi="Calibri" w:cs="Calibri"/>
          <w:bCs/>
        </w:rPr>
        <w:t>﻿</w:t>
      </w:r>
    </w:p>
    <w:p w14:paraId="11F77AD9" w14:textId="474FA8DE" w:rsidR="00841AED" w:rsidRPr="00841AED" w:rsidRDefault="00841AED" w:rsidP="00841AED">
      <w:pPr>
        <w:pStyle w:val="Listenabsatz"/>
        <w:numPr>
          <w:ilvl w:val="1"/>
          <w:numId w:val="1"/>
        </w:numPr>
        <w:rPr>
          <w:bCs/>
        </w:rPr>
      </w:pPr>
      <w:r w:rsidRPr="00841AED">
        <w:rPr>
          <w:bCs/>
        </w:rPr>
        <w:t>An</w:t>
      </w:r>
      <w:r w:rsidRPr="00841AED">
        <w:rPr>
          <w:bCs/>
        </w:rPr>
        <w:t>frage der UWG-Fraktion betr. Grundsteuerberechnung ab 2025 vom</w:t>
      </w:r>
      <w:r w:rsidRPr="00841AED">
        <w:rPr>
          <w:bCs/>
        </w:rPr>
        <w:t xml:space="preserve"> </w:t>
      </w:r>
      <w:r w:rsidRPr="00841AED">
        <w:rPr>
          <w:bCs/>
        </w:rPr>
        <w:t>23.06.2024</w:t>
      </w:r>
    </w:p>
    <w:p w14:paraId="077EA724" w14:textId="77777777" w:rsidR="00841AED" w:rsidRPr="00841AED" w:rsidRDefault="00841AED" w:rsidP="00841AED">
      <w:pPr>
        <w:ind w:left="1080"/>
        <w:rPr>
          <w:bCs/>
          <w:i/>
          <w:iCs/>
        </w:rPr>
      </w:pPr>
      <w:r w:rsidRPr="00841AED">
        <w:rPr>
          <w:bCs/>
          <w:i/>
          <w:iCs/>
        </w:rPr>
        <w:t>BM Thul erklärt, dass der Rat über die Höhe der Grundsteuer im Rahmen der</w:t>
      </w:r>
    </w:p>
    <w:p w14:paraId="20DECF2C" w14:textId="77777777" w:rsidR="00841AED" w:rsidRPr="00841AED" w:rsidRDefault="00841AED" w:rsidP="00841AED">
      <w:pPr>
        <w:ind w:left="1080"/>
        <w:rPr>
          <w:bCs/>
          <w:i/>
          <w:iCs/>
        </w:rPr>
      </w:pPr>
      <w:r w:rsidRPr="00841AED">
        <w:rPr>
          <w:bCs/>
          <w:i/>
          <w:iCs/>
        </w:rPr>
        <w:t>Haushaltsberatungen für das Jahr 2025 beraten und beschließen werde.</w:t>
      </w:r>
    </w:p>
    <w:p w14:paraId="23027DD3" w14:textId="452FE9E1" w:rsidR="00841AED" w:rsidRPr="00841AED" w:rsidRDefault="00841AED" w:rsidP="00841AED">
      <w:pPr>
        <w:ind w:left="1080"/>
        <w:rPr>
          <w:bCs/>
          <w:i/>
          <w:iCs/>
        </w:rPr>
      </w:pPr>
      <w:proofErr w:type="spellStart"/>
      <w:r w:rsidRPr="00841AED">
        <w:rPr>
          <w:bCs/>
          <w:i/>
          <w:iCs/>
        </w:rPr>
        <w:t>StK</w:t>
      </w:r>
      <w:proofErr w:type="spellEnd"/>
      <w:r w:rsidRPr="00841AED">
        <w:rPr>
          <w:bCs/>
          <w:i/>
          <w:iCs/>
        </w:rPr>
        <w:t xml:space="preserve"> Knabe teilt mit, dass über die Rücklaufquote für Bergneustadt nichts bekannt</w:t>
      </w:r>
      <w:r>
        <w:rPr>
          <w:bCs/>
          <w:i/>
          <w:iCs/>
        </w:rPr>
        <w:t xml:space="preserve"> </w:t>
      </w:r>
      <w:r w:rsidRPr="00841AED">
        <w:rPr>
          <w:bCs/>
          <w:i/>
          <w:iCs/>
        </w:rPr>
        <w:t>sei. Es gebe lediglich ein Informationsschreiben für den Bezirk des Finanzamtes</w:t>
      </w:r>
      <w:r>
        <w:rPr>
          <w:bCs/>
          <w:i/>
          <w:iCs/>
        </w:rPr>
        <w:t xml:space="preserve"> </w:t>
      </w:r>
      <w:r w:rsidRPr="00841AED">
        <w:rPr>
          <w:bCs/>
          <w:i/>
          <w:iCs/>
        </w:rPr>
        <w:t>Gummersbach, das von einer Rücklaufquote von 90 % berichte. Wie sich diese auf</w:t>
      </w:r>
      <w:r>
        <w:rPr>
          <w:bCs/>
          <w:i/>
          <w:iCs/>
        </w:rPr>
        <w:t xml:space="preserve"> </w:t>
      </w:r>
      <w:r w:rsidRPr="00841AED">
        <w:rPr>
          <w:bCs/>
          <w:i/>
          <w:iCs/>
        </w:rPr>
        <w:t>die einzelnen Kommunen verteile, sei nicht bekannt.</w:t>
      </w:r>
    </w:p>
    <w:p w14:paraId="420CBD23" w14:textId="4DBB4CD7" w:rsidR="00841AED" w:rsidRDefault="00841AED" w:rsidP="00841AED">
      <w:pPr>
        <w:ind w:left="1080"/>
        <w:rPr>
          <w:bCs/>
          <w:i/>
          <w:iCs/>
        </w:rPr>
      </w:pPr>
      <w:r w:rsidRPr="00841AED">
        <w:rPr>
          <w:bCs/>
          <w:i/>
          <w:iCs/>
        </w:rPr>
        <w:t xml:space="preserve">Abschließend berichtet BM Thul, dass die Erstellung von Musterbescheiden technisch nicht möglich sei, da hierzu die Datengrundlage fehle. Es liege zudem in </w:t>
      </w:r>
      <w:proofErr w:type="spellStart"/>
      <w:r w:rsidRPr="00841AED">
        <w:rPr>
          <w:bCs/>
          <w:i/>
          <w:iCs/>
        </w:rPr>
        <w:t>derHand</w:t>
      </w:r>
      <w:proofErr w:type="spellEnd"/>
      <w:r w:rsidRPr="00841AED">
        <w:rPr>
          <w:bCs/>
          <w:i/>
          <w:iCs/>
        </w:rPr>
        <w:t xml:space="preserve"> des Stadtrates, Kosten zu senken und Mehreinnahmen zu generieren, um</w:t>
      </w:r>
      <w:r>
        <w:rPr>
          <w:bCs/>
          <w:i/>
          <w:iCs/>
        </w:rPr>
        <w:t xml:space="preserve"> </w:t>
      </w:r>
      <w:r w:rsidRPr="00841AED">
        <w:rPr>
          <w:bCs/>
          <w:i/>
          <w:iCs/>
        </w:rPr>
        <w:t>somit die Bürger zu schützen.</w:t>
      </w:r>
    </w:p>
    <w:p w14:paraId="2E46AE54" w14:textId="77777777" w:rsidR="00841AED" w:rsidRPr="00841AED" w:rsidRDefault="00841AED" w:rsidP="00841AED">
      <w:pPr>
        <w:ind w:left="1080"/>
        <w:rPr>
          <w:bCs/>
          <w:i/>
          <w:iCs/>
        </w:rPr>
      </w:pPr>
    </w:p>
    <w:p w14:paraId="22DD9CEC" w14:textId="4EF0C63F" w:rsidR="00841AED" w:rsidRDefault="00841AED" w:rsidP="00841AED">
      <w:pPr>
        <w:pStyle w:val="Listenabsatz"/>
        <w:numPr>
          <w:ilvl w:val="1"/>
          <w:numId w:val="1"/>
        </w:numPr>
        <w:rPr>
          <w:bCs/>
        </w:rPr>
      </w:pPr>
      <w:r w:rsidRPr="00841AED">
        <w:rPr>
          <w:bCs/>
        </w:rPr>
        <w:t xml:space="preserve">Anfrage des </w:t>
      </w:r>
      <w:proofErr w:type="spellStart"/>
      <w:r w:rsidRPr="00841AED">
        <w:rPr>
          <w:bCs/>
        </w:rPr>
        <w:t>Stv</w:t>
      </w:r>
      <w:proofErr w:type="spellEnd"/>
      <w:r w:rsidRPr="00841AED">
        <w:rPr>
          <w:bCs/>
        </w:rPr>
        <w:t xml:space="preserve">. </w:t>
      </w:r>
      <w:proofErr w:type="spellStart"/>
      <w:r w:rsidRPr="00841AED">
        <w:rPr>
          <w:bCs/>
        </w:rPr>
        <w:t>Gauer</w:t>
      </w:r>
      <w:proofErr w:type="spellEnd"/>
      <w:r w:rsidRPr="00841AED">
        <w:rPr>
          <w:bCs/>
        </w:rPr>
        <w:t xml:space="preserve"> betr. Sachstand über den Antrag der CDU-Fraktion betr.</w:t>
      </w:r>
      <w:r w:rsidRPr="00841AED">
        <w:rPr>
          <w:bCs/>
        </w:rPr>
        <w:t xml:space="preserve"> </w:t>
      </w:r>
      <w:r w:rsidRPr="00841AED">
        <w:rPr>
          <w:bCs/>
        </w:rPr>
        <w:t xml:space="preserve">Müllvermeidungskonzept rund um die </w:t>
      </w:r>
      <w:proofErr w:type="spellStart"/>
      <w:r w:rsidRPr="00841AED">
        <w:rPr>
          <w:bCs/>
        </w:rPr>
        <w:t>Aggertalsperre</w:t>
      </w:r>
      <w:proofErr w:type="spellEnd"/>
      <w:r w:rsidRPr="00841AED">
        <w:rPr>
          <w:bCs/>
        </w:rPr>
        <w:t xml:space="preserve"> in Zusammenarbeit mit</w:t>
      </w:r>
      <w:r w:rsidRPr="00841AED">
        <w:rPr>
          <w:bCs/>
        </w:rPr>
        <w:t xml:space="preserve"> </w:t>
      </w:r>
      <w:r w:rsidRPr="00841AED">
        <w:rPr>
          <w:bCs/>
        </w:rPr>
        <w:t>der Stadt Gummersbach vom 30.10.2023</w:t>
      </w:r>
    </w:p>
    <w:p w14:paraId="367FFFE0" w14:textId="77777777" w:rsidR="00841AED" w:rsidRPr="00841AED" w:rsidRDefault="00841AED" w:rsidP="00841AED">
      <w:pPr>
        <w:pStyle w:val="Listenabsatz"/>
        <w:ind w:left="1080"/>
        <w:rPr>
          <w:bCs/>
        </w:rPr>
      </w:pPr>
    </w:p>
    <w:p w14:paraId="0344585B" w14:textId="685CD3BF" w:rsidR="00841AED" w:rsidRPr="00841AED" w:rsidRDefault="00841AED" w:rsidP="00841AED">
      <w:pPr>
        <w:ind w:left="1080"/>
        <w:rPr>
          <w:bCs/>
          <w:i/>
          <w:iCs/>
        </w:rPr>
      </w:pPr>
      <w:r w:rsidRPr="00841AED">
        <w:rPr>
          <w:bCs/>
          <w:i/>
          <w:iCs/>
        </w:rPr>
        <w:t>BM Thul erklärt, dass die Verwaltung angelehnt an das Gummersbacher Konzept</w:t>
      </w:r>
      <w:r>
        <w:rPr>
          <w:bCs/>
          <w:i/>
          <w:iCs/>
        </w:rPr>
        <w:t xml:space="preserve"> </w:t>
      </w:r>
      <w:r w:rsidRPr="00841AED">
        <w:rPr>
          <w:bCs/>
          <w:i/>
          <w:iCs/>
        </w:rPr>
        <w:t>handeln wolle. Lediglich die Aufstellung der Mülleimer müsse noch verwaltungsintern besprochen werden und die Kosten ermittelt werden.</w:t>
      </w:r>
    </w:p>
    <w:p w14:paraId="0AC75494" w14:textId="77777777" w:rsidR="00841AED" w:rsidRDefault="00841AED" w:rsidP="00841AED">
      <w:pPr>
        <w:rPr>
          <w:bCs/>
        </w:rPr>
      </w:pPr>
    </w:p>
    <w:p w14:paraId="094E7880" w14:textId="0A42B541" w:rsidR="00841AED" w:rsidRPr="00841AED" w:rsidRDefault="00841AED" w:rsidP="00841AED">
      <w:pPr>
        <w:pStyle w:val="Listenabsatz"/>
        <w:numPr>
          <w:ilvl w:val="1"/>
          <w:numId w:val="1"/>
        </w:numPr>
        <w:rPr>
          <w:bCs/>
        </w:rPr>
      </w:pPr>
      <w:r w:rsidRPr="00841AED">
        <w:rPr>
          <w:bCs/>
        </w:rPr>
        <w:t xml:space="preserve">Anfrage des </w:t>
      </w:r>
      <w:proofErr w:type="spellStart"/>
      <w:r w:rsidRPr="00841AED">
        <w:rPr>
          <w:bCs/>
        </w:rPr>
        <w:t>Stv</w:t>
      </w:r>
      <w:proofErr w:type="spellEnd"/>
      <w:r w:rsidRPr="00841AED">
        <w:rPr>
          <w:bCs/>
        </w:rPr>
        <w:t>. Kubitzki betr. Erneuerung der Beschilderung am "Grünen Band"</w:t>
      </w:r>
      <w:r w:rsidRPr="00841AED">
        <w:rPr>
          <w:bCs/>
        </w:rPr>
        <w:t xml:space="preserve"> </w:t>
      </w:r>
      <w:r w:rsidRPr="00841AED">
        <w:rPr>
          <w:bCs/>
        </w:rPr>
        <w:t>Hackenberg und auf dem Breslauer Platz</w:t>
      </w:r>
    </w:p>
    <w:p w14:paraId="22717E06" w14:textId="1C045762" w:rsidR="00841AED" w:rsidRPr="00841AED" w:rsidRDefault="00841AED" w:rsidP="00841AED">
      <w:pPr>
        <w:rPr>
          <w:bCs/>
        </w:rPr>
      </w:pPr>
    </w:p>
    <w:p w14:paraId="1CD6D882" w14:textId="2790182C" w:rsidR="00841AED" w:rsidRPr="00841AED" w:rsidRDefault="00841AED" w:rsidP="00841AED">
      <w:pPr>
        <w:ind w:left="1080"/>
        <w:rPr>
          <w:bCs/>
          <w:i/>
          <w:iCs/>
        </w:rPr>
      </w:pPr>
      <w:r w:rsidRPr="00841AED">
        <w:rPr>
          <w:bCs/>
          <w:i/>
          <w:iCs/>
        </w:rPr>
        <w:t>Da sich im Bereich des „Grünen Bandes“ auf dem Hackenberg und des Breslauer</w:t>
      </w:r>
      <w:r>
        <w:rPr>
          <w:bCs/>
          <w:i/>
          <w:iCs/>
        </w:rPr>
        <w:t xml:space="preserve"> </w:t>
      </w:r>
      <w:r w:rsidRPr="00841AED">
        <w:rPr>
          <w:bCs/>
          <w:i/>
          <w:iCs/>
        </w:rPr>
        <w:t xml:space="preserve">Platzes verstärkt Personen aufhalten, die Alkohol konsumieren, bittet </w:t>
      </w:r>
      <w:proofErr w:type="spellStart"/>
      <w:r w:rsidRPr="00841AED">
        <w:rPr>
          <w:bCs/>
          <w:i/>
          <w:iCs/>
        </w:rPr>
        <w:t>Stv</w:t>
      </w:r>
      <w:proofErr w:type="spellEnd"/>
      <w:r w:rsidRPr="00841AED">
        <w:rPr>
          <w:bCs/>
          <w:i/>
          <w:iCs/>
        </w:rPr>
        <w:t>. Kubitzki</w:t>
      </w:r>
      <w:r>
        <w:rPr>
          <w:bCs/>
          <w:i/>
          <w:iCs/>
        </w:rPr>
        <w:t xml:space="preserve"> </w:t>
      </w:r>
      <w:r w:rsidRPr="00841AED">
        <w:rPr>
          <w:bCs/>
          <w:i/>
          <w:iCs/>
        </w:rPr>
        <w:t>die mittlerweile beschädigte Beschilderung zu erneuern.</w:t>
      </w:r>
    </w:p>
    <w:p w14:paraId="660C2652" w14:textId="793CC798" w:rsidR="00841AED" w:rsidRPr="00841AED" w:rsidRDefault="00841AED" w:rsidP="00841AED">
      <w:pPr>
        <w:ind w:left="1080"/>
        <w:rPr>
          <w:bCs/>
          <w:i/>
          <w:iCs/>
        </w:rPr>
      </w:pPr>
      <w:r w:rsidRPr="00841AED">
        <w:rPr>
          <w:bCs/>
          <w:i/>
          <w:iCs/>
        </w:rPr>
        <w:t xml:space="preserve">BM Thul sagt zu, dass die Beschilderung durch den Baubetriebshof </w:t>
      </w:r>
      <w:proofErr w:type="gramStart"/>
      <w:r w:rsidRPr="00841AED">
        <w:rPr>
          <w:bCs/>
          <w:i/>
          <w:iCs/>
        </w:rPr>
        <w:t>erneuert</w:t>
      </w:r>
      <w:proofErr w:type="gramEnd"/>
      <w:r w:rsidRPr="00841AED">
        <w:rPr>
          <w:bCs/>
          <w:i/>
          <w:iCs/>
        </w:rPr>
        <w:t xml:space="preserve"> werde</w:t>
      </w:r>
    </w:p>
    <w:p w14:paraId="35C722D2" w14:textId="77777777" w:rsidR="00841AED" w:rsidRPr="00841AED" w:rsidRDefault="00841AED" w:rsidP="00841AED">
      <w:pPr>
        <w:ind w:left="1080"/>
        <w:rPr>
          <w:bCs/>
          <w:color w:val="FF0000"/>
        </w:rPr>
      </w:pPr>
    </w:p>
    <w:p w14:paraId="2464646F" w14:textId="14BC6F03" w:rsidR="00841AED" w:rsidRDefault="00841AED" w:rsidP="00841AED">
      <w:pPr>
        <w:rPr>
          <w:b/>
        </w:rPr>
      </w:pPr>
      <w:r w:rsidRPr="00841AED">
        <w:rPr>
          <w:b/>
        </w:rPr>
        <w:t>Nichtöffentliche Sitzung</w:t>
      </w:r>
    </w:p>
    <w:p w14:paraId="4D5828C1" w14:textId="77777777" w:rsidR="00841AED" w:rsidRPr="00841AED" w:rsidRDefault="00841AED" w:rsidP="00841AED">
      <w:pPr>
        <w:rPr>
          <w:b/>
        </w:rPr>
      </w:pPr>
    </w:p>
    <w:p w14:paraId="1D1203E5" w14:textId="61C3C014" w:rsidR="00841AED" w:rsidRPr="00841AED" w:rsidRDefault="00841AED" w:rsidP="00841AED">
      <w:pPr>
        <w:pStyle w:val="Listenabsatz"/>
        <w:numPr>
          <w:ilvl w:val="0"/>
          <w:numId w:val="1"/>
        </w:numPr>
        <w:rPr>
          <w:bCs/>
        </w:rPr>
      </w:pPr>
      <w:r w:rsidRPr="00841AED">
        <w:rPr>
          <w:bCs/>
        </w:rPr>
        <w:t>Wahl der Schiedsperson für den Schiedsamtsbezirk Bergneustadt</w:t>
      </w:r>
      <w:r w:rsidRPr="00841AED">
        <w:rPr>
          <w:bCs/>
        </w:rPr>
        <w:t xml:space="preserve"> </w:t>
      </w:r>
      <w:r w:rsidRPr="00841AED">
        <w:rPr>
          <w:bCs/>
        </w:rPr>
        <w:t>II</w:t>
      </w:r>
    </w:p>
    <w:p w14:paraId="572C3451" w14:textId="5E6A2E10" w:rsidR="00841AED" w:rsidRPr="00841AED" w:rsidRDefault="00841AED" w:rsidP="00841AED">
      <w:pPr>
        <w:pStyle w:val="Listenabsatz"/>
        <w:numPr>
          <w:ilvl w:val="0"/>
          <w:numId w:val="1"/>
        </w:numPr>
        <w:rPr>
          <w:bCs/>
        </w:rPr>
      </w:pPr>
      <w:r w:rsidRPr="00841AED">
        <w:rPr>
          <w:bCs/>
        </w:rPr>
        <w:t>Berichte aus den Gremien</w:t>
      </w:r>
    </w:p>
    <w:p w14:paraId="55DFF63E" w14:textId="4F3A3ED5" w:rsidR="00841AED" w:rsidRPr="00841AED" w:rsidRDefault="00841AED" w:rsidP="00841AED">
      <w:pPr>
        <w:pStyle w:val="Listenabsatz"/>
        <w:numPr>
          <w:ilvl w:val="0"/>
          <w:numId w:val="1"/>
        </w:numPr>
        <w:rPr>
          <w:bCs/>
        </w:rPr>
      </w:pPr>
      <w:r w:rsidRPr="00841AED">
        <w:rPr>
          <w:bCs/>
        </w:rPr>
        <w:t>Mitteilungen</w:t>
      </w:r>
    </w:p>
    <w:p w14:paraId="64CC4343" w14:textId="00F7DA06" w:rsidR="00841AED" w:rsidRPr="00841AED" w:rsidRDefault="00841AED" w:rsidP="00841AED">
      <w:pPr>
        <w:pStyle w:val="Listenabsatz"/>
        <w:numPr>
          <w:ilvl w:val="0"/>
          <w:numId w:val="1"/>
        </w:numPr>
        <w:rPr>
          <w:bCs/>
        </w:rPr>
      </w:pPr>
      <w:r w:rsidRPr="00841AED">
        <w:rPr>
          <w:bCs/>
        </w:rPr>
        <w:t>Anfragen, Anregungen, Hinweise</w:t>
      </w:r>
    </w:p>
    <w:p w14:paraId="06E10134" w14:textId="77777777" w:rsidR="00841AED" w:rsidRPr="00841AED" w:rsidRDefault="00841AED" w:rsidP="00841AED">
      <w:pPr>
        <w:pStyle w:val="Listenabsatz"/>
        <w:rPr>
          <w:bCs/>
        </w:rPr>
      </w:pPr>
    </w:p>
    <w:sectPr w:rsidR="00841AED" w:rsidRPr="00841AE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E14A8F"/>
    <w:multiLevelType w:val="multilevel"/>
    <w:tmpl w:val="B4489E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945192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DEE"/>
    <w:rsid w:val="00225DEE"/>
    <w:rsid w:val="00631B4C"/>
    <w:rsid w:val="00841AED"/>
    <w:rsid w:val="00912D88"/>
    <w:rsid w:val="00F51B02"/>
    <w:rsid w:val="00F91E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4E90F"/>
  <w15:chartTrackingRefBased/>
  <w15:docId w15:val="{9E472BE7-9EE7-E140-85E9-C803462C3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25D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25D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25DE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25DE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25DE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25DEE"/>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25DEE"/>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25DEE"/>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25DEE"/>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25DE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25DE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25DE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25DE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25DE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25DE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25DE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25DE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25DEE"/>
    <w:rPr>
      <w:rFonts w:eastAsiaTheme="majorEastAsia" w:cstheme="majorBidi"/>
      <w:color w:val="272727" w:themeColor="text1" w:themeTint="D8"/>
    </w:rPr>
  </w:style>
  <w:style w:type="paragraph" w:styleId="Titel">
    <w:name w:val="Title"/>
    <w:basedOn w:val="Standard"/>
    <w:next w:val="Standard"/>
    <w:link w:val="TitelZchn"/>
    <w:uiPriority w:val="10"/>
    <w:qFormat/>
    <w:rsid w:val="00225DEE"/>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25DE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25DEE"/>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25DE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25DEE"/>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225DEE"/>
    <w:rPr>
      <w:i/>
      <w:iCs/>
      <w:color w:val="404040" w:themeColor="text1" w:themeTint="BF"/>
    </w:rPr>
  </w:style>
  <w:style w:type="paragraph" w:styleId="Listenabsatz">
    <w:name w:val="List Paragraph"/>
    <w:basedOn w:val="Standard"/>
    <w:uiPriority w:val="34"/>
    <w:qFormat/>
    <w:rsid w:val="00225DEE"/>
    <w:pPr>
      <w:ind w:left="720"/>
      <w:contextualSpacing/>
    </w:pPr>
  </w:style>
  <w:style w:type="character" w:styleId="IntensiveHervorhebung">
    <w:name w:val="Intense Emphasis"/>
    <w:basedOn w:val="Absatz-Standardschriftart"/>
    <w:uiPriority w:val="21"/>
    <w:qFormat/>
    <w:rsid w:val="00225DEE"/>
    <w:rPr>
      <w:i/>
      <w:iCs/>
      <w:color w:val="0F4761" w:themeColor="accent1" w:themeShade="BF"/>
    </w:rPr>
  </w:style>
  <w:style w:type="paragraph" w:styleId="IntensivesZitat">
    <w:name w:val="Intense Quote"/>
    <w:basedOn w:val="Standard"/>
    <w:next w:val="Standard"/>
    <w:link w:val="IntensivesZitatZchn"/>
    <w:uiPriority w:val="30"/>
    <w:qFormat/>
    <w:rsid w:val="00225D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25DEE"/>
    <w:rPr>
      <w:i/>
      <w:iCs/>
      <w:color w:val="0F4761" w:themeColor="accent1" w:themeShade="BF"/>
    </w:rPr>
  </w:style>
  <w:style w:type="character" w:styleId="IntensiverVerweis">
    <w:name w:val="Intense Reference"/>
    <w:basedOn w:val="Absatz-Standardschriftart"/>
    <w:uiPriority w:val="32"/>
    <w:qFormat/>
    <w:rsid w:val="00225D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4841</Characters>
  <Application>Microsoft Office Word</Application>
  <DocSecurity>0</DocSecurity>
  <Lines>40</Lines>
  <Paragraphs>11</Paragraphs>
  <ScaleCrop>false</ScaleCrop>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Reinhard Schulte</dc:creator>
  <cp:keywords/>
  <dc:description/>
  <cp:lastModifiedBy>Reinhard Schulte</cp:lastModifiedBy>
  <cp:revision>2</cp:revision>
  <dcterms:created xsi:type="dcterms:W3CDTF">2024-09-04T10:30:00Z</dcterms:created>
  <dcterms:modified xsi:type="dcterms:W3CDTF">2024-09-04T11:50:00Z</dcterms:modified>
</cp:coreProperties>
</file>